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сельского поселения Кубанец 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25.03.2021</w:t>
      </w:r>
      <w:r w:rsidRPr="00C77FDA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22</w:t>
      </w:r>
      <w:r w:rsidRPr="00C77FDA">
        <w:rPr>
          <w:rFonts w:ascii="Times New Roman" w:hAnsi="Times New Roman"/>
          <w:sz w:val="28"/>
          <w:szCs w:val="28"/>
        </w:rPr>
        <w:t xml:space="preserve"> 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0A62C3" w:rsidRPr="00C77FDA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0A62C3" w:rsidRPr="00C77FDA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A62C3" w:rsidRPr="00C77FDA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0A62C3" w:rsidRPr="00C77FDA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24.10.2020 № 96</w:t>
      </w:r>
      <w:bookmarkStart w:id="0" w:name="_GoBack"/>
      <w:bookmarkEnd w:id="0"/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0A62C3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Кубанец Тимашевского района</w:t>
      </w:r>
    </w:p>
    <w:p w:rsidR="000A62C3" w:rsidRPr="00C77FDA" w:rsidRDefault="000A62C3" w:rsidP="000A62C3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25.03.2021</w:t>
      </w:r>
      <w:r w:rsidRPr="00C77FDA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22)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1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протяженности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3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3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9638,0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2F6157">
              <w:rPr>
                <w:rFonts w:ascii="Times New Roman" w:hAnsi="Times New Roman"/>
                <w:sz w:val="28"/>
                <w:szCs w:val="28"/>
                <w:lang w:eastAsia="ru-RU"/>
              </w:rPr>
              <w:t>6798,0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6110,2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2F6157">
              <w:rPr>
                <w:rFonts w:ascii="Times New Roman" w:hAnsi="Times New Roman"/>
                <w:sz w:val="28"/>
                <w:szCs w:val="28"/>
                <w:lang w:eastAsia="ru-RU"/>
              </w:rPr>
              <w:t>3270,2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краевого бюджета-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4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современной поселковой инфраструктуры. Содержание территории в чистоте и проведение прочих мероприятий по благоустройству, способствует созданию благоприятных условий саморазвития,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поселения: «За лучшее проведение работ по благоустройству, санитарному содер</w:t>
      </w:r>
      <w:r w:rsidRPr="00D0749A">
        <w:rPr>
          <w:rFonts w:ascii="Times New Roman" w:hAnsi="Times New Roman"/>
          <w:sz w:val="28"/>
          <w:szCs w:val="28"/>
        </w:rPr>
        <w:lastRenderedPageBreak/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r w:rsidRPr="00D0749A"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организаций.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</w:t>
      </w:r>
      <w:r w:rsidRPr="00D0749A">
        <w:rPr>
          <w:sz w:val="28"/>
          <w:szCs w:val="28"/>
        </w:rPr>
        <w:lastRenderedPageBreak/>
        <w:t>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5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-создание эстетического вида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 xml:space="preserve">ей уличного освещения поселения </w:t>
      </w:r>
      <w:r w:rsidR="00A7556F" w:rsidRPr="00E2713A">
        <w:rPr>
          <w:rFonts w:ascii="Times New Roman" w:hAnsi="Times New Roman"/>
          <w:sz w:val="28"/>
          <w:szCs w:val="28"/>
        </w:rPr>
        <w:lastRenderedPageBreak/>
        <w:t>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 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>ретение газонокосилки, бензокосы</w:t>
      </w:r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ул.</w:t>
      </w:r>
      <w:r w:rsidR="00D34E7F">
        <w:rPr>
          <w:rFonts w:ascii="Times New Roman" w:hAnsi="Times New Roman"/>
          <w:sz w:val="28"/>
          <w:szCs w:val="28"/>
        </w:rPr>
        <w:t>Зеленой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ул.Заречной.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Обустройство тротуара по ул. Коммунистической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6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682C0F">
        <w:rPr>
          <w:rFonts w:ascii="Times New Roman" w:hAnsi="Times New Roman"/>
          <w:sz w:val="28"/>
          <w:szCs w:val="28"/>
          <w:lang w:eastAsia="ru-RU"/>
        </w:rPr>
        <w:t>2605,9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905,9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из них на: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682C0F">
        <w:rPr>
          <w:rFonts w:ascii="Times New Roman" w:hAnsi="Times New Roman"/>
          <w:sz w:val="28"/>
          <w:szCs w:val="28"/>
          <w:lang w:eastAsia="ru-RU"/>
        </w:rPr>
        <w:t>2007,9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2C0F">
        <w:rPr>
          <w:rFonts w:ascii="Times New Roman" w:hAnsi="Times New Roman"/>
          <w:sz w:val="28"/>
          <w:szCs w:val="28"/>
          <w:lang w:eastAsia="ru-RU"/>
        </w:rPr>
        <w:t>607,9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682C0F">
        <w:rPr>
          <w:rFonts w:ascii="Times New Roman" w:hAnsi="Times New Roman"/>
          <w:sz w:val="28"/>
          <w:szCs w:val="28"/>
          <w:lang w:eastAsia="ru-RU"/>
        </w:rPr>
        <w:t>472,5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Основного мероприятия № 3. 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0D4959">
        <w:rPr>
          <w:rFonts w:ascii="Times New Roman" w:hAnsi="Times New Roman"/>
          <w:sz w:val="28"/>
          <w:szCs w:val="28"/>
          <w:lang w:eastAsia="ru-RU"/>
        </w:rPr>
        <w:t>209,0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0D4959">
        <w:rPr>
          <w:rFonts w:ascii="Times New Roman" w:hAnsi="Times New Roman"/>
          <w:sz w:val="28"/>
          <w:szCs w:val="28"/>
          <w:lang w:eastAsia="ru-RU"/>
        </w:rPr>
        <w:t>69</w:t>
      </w:r>
      <w:r w:rsidR="00D16149">
        <w:rPr>
          <w:rFonts w:ascii="Times New Roman" w:hAnsi="Times New Roman"/>
          <w:sz w:val="28"/>
          <w:szCs w:val="28"/>
          <w:lang w:eastAsia="ru-RU"/>
        </w:rPr>
        <w:t>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</w:t>
      </w:r>
      <w:r w:rsidR="000D4959">
        <w:rPr>
          <w:rFonts w:ascii="Times New Roman" w:hAnsi="Times New Roman"/>
          <w:sz w:val="28"/>
          <w:szCs w:val="28"/>
          <w:lang w:eastAsia="ru-RU"/>
        </w:rPr>
        <w:t>22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 тыс. руб., 2023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«Прочие мероприятия по благоустройству территории поселения» предусмотрено средств бюджета </w:t>
      </w:r>
      <w:r w:rsidR="00682C0F">
        <w:rPr>
          <w:rFonts w:ascii="Times New Roman" w:hAnsi="Times New Roman"/>
          <w:sz w:val="28"/>
          <w:szCs w:val="28"/>
          <w:lang w:eastAsia="ru-RU"/>
        </w:rPr>
        <w:t>5648,1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5448,1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в хуторе Беднягина;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ул. Коммунистической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82C0F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3270,2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3835CB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6110,2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7E3B86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7E3B8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82C0F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6798,0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682C0F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38,0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 xml:space="preserve">Об  утверждении  Порядка принятия решения о разработке, формирования, реализации и оценки эффективности реализации </w:t>
      </w:r>
      <w:r>
        <w:rPr>
          <w:rFonts w:ascii="Times New Roman" w:hAnsi="Times New Roman"/>
          <w:sz w:val="28"/>
        </w:rPr>
        <w:lastRenderedPageBreak/>
        <w:t>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программы–администрация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8920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05D" w:rsidRDefault="00F1505D" w:rsidP="00D74DD0">
      <w:r>
        <w:separator/>
      </w:r>
    </w:p>
  </w:endnote>
  <w:endnote w:type="continuationSeparator" w:id="0">
    <w:p w:rsidR="00F1505D" w:rsidRDefault="00F1505D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05D" w:rsidRDefault="00F1505D" w:rsidP="00D74DD0">
      <w:r>
        <w:separator/>
      </w:r>
    </w:p>
  </w:footnote>
  <w:footnote w:type="continuationSeparator" w:id="0">
    <w:p w:rsidR="00F1505D" w:rsidRDefault="00F1505D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F43" w:rsidRDefault="00F97ADB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0A62C3">
      <w:rPr>
        <w:noProof/>
      </w:rPr>
      <w:t>4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A62C3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0EF2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777E"/>
    <w:rsid w:val="002D377C"/>
    <w:rsid w:val="002E0D61"/>
    <w:rsid w:val="002E40C1"/>
    <w:rsid w:val="002E430A"/>
    <w:rsid w:val="002F2167"/>
    <w:rsid w:val="002F397E"/>
    <w:rsid w:val="002F6157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FD6"/>
    <w:rsid w:val="003624E6"/>
    <w:rsid w:val="00377682"/>
    <w:rsid w:val="0038198C"/>
    <w:rsid w:val="00382FD5"/>
    <w:rsid w:val="003835CB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775EB"/>
    <w:rsid w:val="0058022C"/>
    <w:rsid w:val="00581FF8"/>
    <w:rsid w:val="00594338"/>
    <w:rsid w:val="005A1F42"/>
    <w:rsid w:val="005A4A7D"/>
    <w:rsid w:val="005A5B63"/>
    <w:rsid w:val="005B508A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92083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0BD1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20FCB"/>
    <w:rsid w:val="00C238F7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07F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05D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B62CD5-AADB-41E7-A973-3EA1CD7D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AFE6-732E-4265-850E-BE71180B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2021-03-31T12:21:00Z</cp:lastPrinted>
  <dcterms:created xsi:type="dcterms:W3CDTF">2021-03-31T08:24:00Z</dcterms:created>
  <dcterms:modified xsi:type="dcterms:W3CDTF">2021-08-19T10:38:00Z</dcterms:modified>
</cp:coreProperties>
</file>